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071E" w:rsidRDefault="00335E6D">
      <w:pPr>
        <w:pStyle w:val="Textoindependiente"/>
        <w:spacing w:before="280" w:after="280" w:line="240" w:lineRule="auto"/>
      </w:pPr>
      <w:r>
        <w:rPr>
          <w:rFonts w:ascii="Arial Narrow" w:hAnsi="Arial Narrow" w:cs="Gadugi"/>
          <w:b/>
          <w:bCs/>
          <w:sz w:val="40"/>
          <w:szCs w:val="40"/>
        </w:rPr>
        <w:t xml:space="preserve">El Ayuntamiento aprueba las bases que regulan la concesión de becas a estudiantes para hacer prácticas en la Banda Municipal de Música </w:t>
      </w:r>
    </w:p>
    <w:p w:rsidR="003B071E" w:rsidRDefault="00335E6D">
      <w:pPr>
        <w:rPr>
          <w:rFonts w:ascii="Arial Narrow" w:hAnsi="Arial Narrow"/>
          <w:bCs/>
          <w:iCs/>
          <w:color w:val="000000"/>
          <w:sz w:val="32"/>
          <w:szCs w:val="32"/>
          <w:lang w:eastAsia="es-ES"/>
        </w:rPr>
      </w:pPr>
      <w:r>
        <w:rPr>
          <w:rFonts w:ascii="Arial Narrow" w:hAnsi="Arial Narrow"/>
          <w:bCs/>
          <w:iCs/>
          <w:color w:val="000000"/>
          <w:sz w:val="32"/>
          <w:szCs w:val="32"/>
          <w:lang w:eastAsia="es-ES"/>
        </w:rPr>
        <w:t xml:space="preserve">Con esta iniciativa, el Gobierno municipal cumple su compromiso de recuperar la función pedagógica e incrementar y </w:t>
      </w:r>
      <w:r>
        <w:rPr>
          <w:rFonts w:ascii="Arial Narrow" w:hAnsi="Arial Narrow"/>
          <w:bCs/>
          <w:iCs/>
          <w:color w:val="000000"/>
          <w:sz w:val="32"/>
          <w:szCs w:val="32"/>
          <w:lang w:eastAsia="es-ES"/>
        </w:rPr>
        <w:t>potenciar la Banda Municipal</w:t>
      </w:r>
    </w:p>
    <w:p w:rsidR="003B071E" w:rsidRDefault="00335E6D">
      <w:pPr>
        <w:pStyle w:val="Textoindependiente"/>
        <w:spacing w:before="280" w:after="280" w:line="240" w:lineRule="auto"/>
        <w:jc w:val="both"/>
        <w:rPr>
          <w:rFonts w:ascii="Arial Narrow" w:hAnsi="Arial Narrow"/>
          <w:sz w:val="26"/>
          <w:szCs w:val="26"/>
        </w:rPr>
      </w:pPr>
      <w:r>
        <w:rPr>
          <w:rFonts w:ascii="Arial Narrow" w:hAnsi="Arial Narrow" w:cs="Gadugi"/>
          <w:b/>
          <w:bCs/>
          <w:sz w:val="26"/>
          <w:szCs w:val="26"/>
        </w:rPr>
        <w:t xml:space="preserve">19 de marzo de 2024. </w:t>
      </w:r>
      <w:r>
        <w:rPr>
          <w:rFonts w:ascii="Arial Narrow" w:hAnsi="Arial Narrow" w:cs="Gadugi"/>
          <w:sz w:val="26"/>
          <w:szCs w:val="26"/>
        </w:rPr>
        <w:t>La Junta de Gobierno Local ha aprobado las bases reguladoras para la concesión de becas de formación práctica a alumnos de estudios musicales en la Banda de Municipal de Música de Jerez. Esta iniciativa for</w:t>
      </w:r>
      <w:r>
        <w:rPr>
          <w:rFonts w:ascii="Arial Narrow" w:hAnsi="Arial Narrow" w:cs="Gadugi"/>
          <w:sz w:val="26"/>
          <w:szCs w:val="26"/>
        </w:rPr>
        <w:t>ma parte del compromiso del Gobierno Municipal de apoyar la consolidación de esta entidad, creada en el año 1930 por el Maestro Germán Álvarez-</w:t>
      </w:r>
      <w:proofErr w:type="spellStart"/>
      <w:r>
        <w:rPr>
          <w:rFonts w:ascii="Arial Narrow" w:hAnsi="Arial Narrow" w:cs="Gadugi"/>
          <w:sz w:val="26"/>
          <w:szCs w:val="26"/>
        </w:rPr>
        <w:t>Beigbeder</w:t>
      </w:r>
      <w:proofErr w:type="spellEnd"/>
      <w:r>
        <w:rPr>
          <w:rFonts w:ascii="Arial Narrow" w:hAnsi="Arial Narrow" w:cs="Gadugi"/>
          <w:sz w:val="26"/>
          <w:szCs w:val="26"/>
        </w:rPr>
        <w:t>, y que por tanto, constituye “uno de los mayores patrimonios culturales y musicales de la ciudad”, en p</w:t>
      </w:r>
      <w:r>
        <w:rPr>
          <w:rFonts w:ascii="Arial Narrow" w:hAnsi="Arial Narrow" w:cs="Gadugi"/>
          <w:sz w:val="26"/>
          <w:szCs w:val="26"/>
        </w:rPr>
        <w:t xml:space="preserve">alabras del delegado de Cultura y Patrimonio Histórico, Francisco Zurita. </w:t>
      </w:r>
    </w:p>
    <w:p w:rsidR="003B071E" w:rsidRDefault="00335E6D">
      <w:pPr>
        <w:pStyle w:val="Prrafodelista"/>
        <w:ind w:left="0"/>
        <w:jc w:val="both"/>
        <w:rPr>
          <w:rFonts w:ascii="Arial Narrow" w:hAnsi="Arial Narrow"/>
          <w:sz w:val="26"/>
          <w:szCs w:val="26"/>
        </w:rPr>
      </w:pPr>
      <w:r>
        <w:rPr>
          <w:rFonts w:ascii="Arial Narrow" w:hAnsi="Arial Narrow" w:cs="Gadugi"/>
          <w:sz w:val="26"/>
          <w:szCs w:val="26"/>
        </w:rPr>
        <w:t>Tras dar luz verde a estas bases, el siguiente paso será la aprobación de la convocatoria para la concesión de estas becas, también mediante acuerdo de Junta de Gobierno Local, y su</w:t>
      </w:r>
      <w:r>
        <w:rPr>
          <w:rFonts w:ascii="Arial Narrow" w:hAnsi="Arial Narrow" w:cs="Gadugi"/>
          <w:sz w:val="26"/>
          <w:szCs w:val="26"/>
        </w:rPr>
        <w:t xml:space="preserve"> publicación en la web del Ayuntamiento de Jerez y en el Boletín Oficial de la Provincia, BOP, donde podrán ser consultadas por las personas interesadas. </w:t>
      </w:r>
    </w:p>
    <w:p w:rsidR="003B071E" w:rsidRDefault="00335E6D">
      <w:pPr>
        <w:jc w:val="both"/>
        <w:rPr>
          <w:rFonts w:ascii="Arial Narrow" w:hAnsi="Arial Narrow"/>
          <w:sz w:val="26"/>
          <w:szCs w:val="26"/>
        </w:rPr>
      </w:pPr>
      <w:r>
        <w:rPr>
          <w:rFonts w:ascii="Arial Narrow" w:hAnsi="Arial Narrow"/>
          <w:bCs/>
          <w:iCs/>
          <w:color w:val="000000"/>
          <w:sz w:val="26"/>
          <w:szCs w:val="26"/>
          <w:lang w:eastAsia="es-ES"/>
        </w:rPr>
        <w:t xml:space="preserve">Según estas bases, estas becas tienen como objeto “contribuir a la formación práctica de estudiantes </w:t>
      </w:r>
      <w:r>
        <w:rPr>
          <w:rFonts w:ascii="Arial Narrow" w:hAnsi="Arial Narrow"/>
          <w:bCs/>
          <w:iCs/>
          <w:color w:val="000000"/>
          <w:sz w:val="26"/>
          <w:szCs w:val="26"/>
          <w:lang w:eastAsia="es-ES"/>
        </w:rPr>
        <w:t>que estén cursando sus estudios o los hayan concluido en las diversas especialidades instrumentales existentes en la Banda Municipal de Música. De esta forma, el Gobierno municipal recupera la función pedagógica y de formación que tuvo en su día esta agrup</w:t>
      </w:r>
      <w:r>
        <w:rPr>
          <w:rFonts w:ascii="Arial Narrow" w:hAnsi="Arial Narrow"/>
          <w:bCs/>
          <w:iCs/>
          <w:color w:val="000000"/>
          <w:sz w:val="26"/>
          <w:szCs w:val="26"/>
          <w:lang w:eastAsia="es-ES"/>
        </w:rPr>
        <w:t>ación, “facilitando</w:t>
      </w:r>
      <w:r>
        <w:rPr>
          <w:rFonts w:ascii="Arial Narrow" w:hAnsi="Arial Narrow"/>
          <w:iCs/>
          <w:sz w:val="26"/>
          <w:szCs w:val="26"/>
          <w:lang w:eastAsia="es-ES"/>
        </w:rPr>
        <w:t xml:space="preserve"> a los estudiantes de Conservatorios y Escuelas de Música, su integración durante un tiempo determinado en nuestra Banda para que completen su formación, adquieran experiencia y tomen contacto con el ambiente profesional”, ha señalado el</w:t>
      </w:r>
      <w:r>
        <w:rPr>
          <w:rFonts w:ascii="Arial Narrow" w:hAnsi="Arial Narrow"/>
          <w:iCs/>
          <w:sz w:val="26"/>
          <w:szCs w:val="26"/>
          <w:lang w:eastAsia="es-ES"/>
        </w:rPr>
        <w:t xml:space="preserve"> responsable municipal. </w:t>
      </w:r>
      <w:bookmarkStart w:id="0" w:name="_GoBack"/>
      <w:bookmarkEnd w:id="0"/>
    </w:p>
    <w:p w:rsidR="003B071E" w:rsidRDefault="003B071E">
      <w:pPr>
        <w:jc w:val="both"/>
        <w:rPr>
          <w:rFonts w:ascii="Arial Narrow" w:hAnsi="Arial Narrow"/>
          <w:sz w:val="26"/>
          <w:szCs w:val="26"/>
        </w:rPr>
      </w:pPr>
    </w:p>
    <w:p w:rsidR="003B071E" w:rsidRDefault="00335E6D">
      <w:pPr>
        <w:jc w:val="both"/>
        <w:rPr>
          <w:rFonts w:ascii="Arial Narrow" w:hAnsi="Arial Narrow"/>
          <w:sz w:val="26"/>
          <w:szCs w:val="26"/>
        </w:rPr>
      </w:pPr>
      <w:r>
        <w:rPr>
          <w:rFonts w:ascii="Arial Narrow" w:hAnsi="Arial Narrow"/>
          <w:iCs/>
          <w:sz w:val="26"/>
          <w:szCs w:val="26"/>
          <w:lang w:eastAsia="es-ES"/>
        </w:rPr>
        <w:t xml:space="preserve">Asimismo, y al contar con un mayor número de integrantes (en este caso becarios) durante un periodo de tiempo determinado, “estas becas contribuirán a impulsar la labor de difusión de la música que lleva a cabo la Banda, así como </w:t>
      </w:r>
      <w:r>
        <w:rPr>
          <w:rFonts w:ascii="Arial Narrow" w:hAnsi="Arial Narrow"/>
          <w:iCs/>
          <w:sz w:val="26"/>
          <w:szCs w:val="26"/>
          <w:lang w:eastAsia="es-ES"/>
        </w:rPr>
        <w:t xml:space="preserve">incrementar su presencia en los distintos eventos del calendario cultural y festivo. </w:t>
      </w:r>
    </w:p>
    <w:p w:rsidR="003B071E" w:rsidRDefault="003B071E">
      <w:pPr>
        <w:jc w:val="both"/>
        <w:rPr>
          <w:bCs/>
          <w:iCs/>
          <w:color w:val="000000"/>
          <w:lang w:eastAsia="es-ES"/>
        </w:rPr>
      </w:pPr>
    </w:p>
    <w:p w:rsidR="003B071E" w:rsidRDefault="00335E6D">
      <w:pPr>
        <w:jc w:val="both"/>
        <w:rPr>
          <w:rFonts w:ascii="Arial Narrow" w:hAnsi="Arial Narrow"/>
          <w:sz w:val="26"/>
          <w:szCs w:val="26"/>
        </w:rPr>
      </w:pPr>
      <w:r>
        <w:rPr>
          <w:rFonts w:ascii="Arial Narrow" w:hAnsi="Arial Narrow"/>
          <w:bCs/>
          <w:iCs/>
          <w:color w:val="000000"/>
          <w:sz w:val="26"/>
          <w:szCs w:val="26"/>
          <w:lang w:eastAsia="es-ES"/>
        </w:rPr>
        <w:t xml:space="preserve">Las becas irán destinadas a las modalidades de </w:t>
      </w:r>
      <w:r>
        <w:rPr>
          <w:rFonts w:ascii="Arial Narrow" w:hAnsi="Arial Narrow" w:cs="Arial"/>
          <w:bCs/>
          <w:iCs/>
          <w:sz w:val="26"/>
          <w:szCs w:val="26"/>
          <w:lang w:eastAsia="es-ES"/>
        </w:rPr>
        <w:t xml:space="preserve">flauta/flautín, oboe/corno inglés,  fagot, </w:t>
      </w:r>
      <w:r>
        <w:rPr>
          <w:rFonts w:ascii="Arial Narrow" w:hAnsi="Arial Narrow" w:cs="Arial"/>
          <w:bCs/>
          <w:iCs/>
          <w:sz w:val="26"/>
          <w:szCs w:val="26"/>
          <w:lang w:eastAsia="es-ES"/>
        </w:rPr>
        <w:t xml:space="preserve">clarinete (toda la familia), saxofón (toda la familia), trompa, </w:t>
      </w:r>
      <w:r>
        <w:rPr>
          <w:rFonts w:ascii="Arial Narrow" w:hAnsi="Arial Narrow" w:cs="Arial"/>
          <w:bCs/>
          <w:iCs/>
          <w:sz w:val="26"/>
          <w:szCs w:val="26"/>
          <w:lang w:eastAsia="es-ES"/>
        </w:rPr>
        <w:lastRenderedPageBreak/>
        <w:t>trompeta/</w:t>
      </w:r>
      <w:proofErr w:type="spellStart"/>
      <w:r>
        <w:rPr>
          <w:rFonts w:ascii="Arial Narrow" w:hAnsi="Arial Narrow" w:cs="Arial"/>
          <w:bCs/>
          <w:iCs/>
          <w:sz w:val="26"/>
          <w:szCs w:val="26"/>
          <w:lang w:eastAsia="es-ES"/>
        </w:rPr>
        <w:t>flisco</w:t>
      </w:r>
      <w:r>
        <w:rPr>
          <w:rFonts w:ascii="Arial Narrow" w:hAnsi="Arial Narrow" w:cs="Arial"/>
          <w:bCs/>
          <w:iCs/>
          <w:sz w:val="26"/>
          <w:szCs w:val="26"/>
          <w:lang w:eastAsia="es-ES"/>
        </w:rPr>
        <w:t>rno</w:t>
      </w:r>
      <w:proofErr w:type="spellEnd"/>
      <w:r>
        <w:rPr>
          <w:rFonts w:ascii="Arial Narrow" w:hAnsi="Arial Narrow" w:cs="Arial"/>
          <w:bCs/>
          <w:iCs/>
          <w:sz w:val="26"/>
          <w:szCs w:val="26"/>
          <w:lang w:eastAsia="es-ES"/>
        </w:rPr>
        <w:t>/corneta, trombón (toda la familia), bombardino, tuba, y percusión</w:t>
      </w:r>
    </w:p>
    <w:p w:rsidR="003B071E" w:rsidRDefault="003B071E">
      <w:pPr>
        <w:jc w:val="both"/>
        <w:rPr>
          <w:rFonts w:ascii="Arial Narrow" w:hAnsi="Arial Narrow"/>
          <w:bCs/>
          <w:iCs/>
          <w:color w:val="000000"/>
          <w:sz w:val="26"/>
          <w:szCs w:val="26"/>
          <w:lang w:eastAsia="es-ES"/>
        </w:rPr>
      </w:pPr>
    </w:p>
    <w:p w:rsidR="003B071E" w:rsidRDefault="00335E6D">
      <w:pPr>
        <w:jc w:val="both"/>
        <w:rPr>
          <w:rFonts w:ascii="Arial Narrow" w:hAnsi="Arial Narrow"/>
          <w:sz w:val="26"/>
          <w:szCs w:val="26"/>
        </w:rPr>
      </w:pPr>
      <w:r>
        <w:rPr>
          <w:rFonts w:ascii="Arial Narrow" w:hAnsi="Arial Narrow"/>
          <w:bCs/>
          <w:iCs/>
          <w:color w:val="000000"/>
          <w:sz w:val="26"/>
          <w:szCs w:val="26"/>
          <w:lang w:eastAsia="es-ES"/>
        </w:rPr>
        <w:t xml:space="preserve">Entre los requisitos para poder acceder a estas becas figuran </w:t>
      </w:r>
      <w:r>
        <w:rPr>
          <w:rFonts w:ascii="Arial Narrow" w:hAnsi="Arial Narrow" w:cs="Arial"/>
          <w:iCs/>
          <w:sz w:val="26"/>
          <w:szCs w:val="26"/>
          <w:lang w:eastAsia="es-ES"/>
        </w:rPr>
        <w:t>tener una edad mínima de 18  años; acreditar  las enseñanzas musicales del instrumento por el que se presente mediante cert</w:t>
      </w:r>
      <w:r>
        <w:rPr>
          <w:rFonts w:ascii="Arial Narrow" w:hAnsi="Arial Narrow" w:cs="Arial"/>
          <w:iCs/>
          <w:sz w:val="26"/>
          <w:szCs w:val="26"/>
          <w:lang w:eastAsia="es-ES"/>
        </w:rPr>
        <w:t xml:space="preserve">ificado de los estudios cursados; tener </w:t>
      </w:r>
      <w:r>
        <w:rPr>
          <w:rFonts w:ascii="Arial Narrow" w:hAnsi="Arial Narrow" w:cs="Arial"/>
          <w:sz w:val="26"/>
          <w:szCs w:val="26"/>
        </w:rPr>
        <w:t>experiencia en el instrumento; y presentación de currículum (</w:t>
      </w:r>
      <w:r>
        <w:rPr>
          <w:rFonts w:ascii="Arial Narrow" w:hAnsi="Arial Narrow" w:cs="Arial"/>
          <w:iCs/>
          <w:color w:val="000000"/>
          <w:sz w:val="26"/>
          <w:szCs w:val="26"/>
          <w:lang w:eastAsia="es-ES"/>
        </w:rPr>
        <w:t xml:space="preserve">no es preciso presentar la documentación que acredite los méritos alegados en el mismo, sólo se solicitará a los aspirantes elegidos para las plazas convocadas). </w:t>
      </w:r>
    </w:p>
    <w:p w:rsidR="003B071E" w:rsidRDefault="003B071E">
      <w:pPr>
        <w:jc w:val="both"/>
        <w:rPr>
          <w:rFonts w:cs="Arial"/>
          <w:bCs/>
          <w:iCs/>
          <w:color w:val="000000"/>
          <w:lang w:eastAsia="es-ES"/>
        </w:rPr>
      </w:pPr>
    </w:p>
    <w:p w:rsidR="003B071E" w:rsidRDefault="00335E6D">
      <w:pPr>
        <w:jc w:val="both"/>
        <w:rPr>
          <w:rFonts w:ascii="Arial Narrow" w:hAnsi="Arial Narrow"/>
          <w:sz w:val="26"/>
          <w:szCs w:val="26"/>
        </w:rPr>
      </w:pPr>
      <w:r>
        <w:rPr>
          <w:rFonts w:ascii="Arial Narrow" w:hAnsi="Arial Narrow"/>
          <w:bCs/>
          <w:iCs/>
          <w:color w:val="000000"/>
          <w:sz w:val="26"/>
          <w:szCs w:val="26"/>
          <w:lang w:eastAsia="es-ES"/>
        </w:rPr>
        <w:t>Conforme a estas bases, el procedimiento para la concesión de las becas se tramitará en régi</w:t>
      </w:r>
      <w:r>
        <w:rPr>
          <w:rFonts w:ascii="Arial Narrow" w:hAnsi="Arial Narrow"/>
          <w:bCs/>
          <w:iCs/>
          <w:color w:val="000000"/>
          <w:sz w:val="26"/>
          <w:szCs w:val="26"/>
          <w:lang w:eastAsia="es-ES"/>
        </w:rPr>
        <w:t>men de concurrencia competitiva y se iniciará de oficio mediante convocatoria, por acuerdo de Junta de Gobierno Local que se publicará en la web del Ayuntamiento de Jerez y en el BOP. La convocatoria establecerá la duración de las becas así como la cuantía</w:t>
      </w:r>
      <w:r>
        <w:rPr>
          <w:rFonts w:ascii="Arial Narrow" w:hAnsi="Arial Narrow"/>
          <w:bCs/>
          <w:iCs/>
          <w:color w:val="000000"/>
          <w:sz w:val="26"/>
          <w:szCs w:val="26"/>
          <w:lang w:eastAsia="es-ES"/>
        </w:rPr>
        <w:t>.</w:t>
      </w:r>
    </w:p>
    <w:p w:rsidR="003B071E" w:rsidRDefault="003B071E">
      <w:pPr>
        <w:jc w:val="both"/>
        <w:rPr>
          <w:rFonts w:ascii="Arial Narrow" w:hAnsi="Arial Narrow"/>
          <w:bCs/>
          <w:iCs/>
          <w:color w:val="000000"/>
          <w:sz w:val="26"/>
          <w:szCs w:val="26"/>
          <w:lang w:eastAsia="es-ES"/>
        </w:rPr>
      </w:pPr>
    </w:p>
    <w:p w:rsidR="003B071E" w:rsidRDefault="00335E6D">
      <w:pPr>
        <w:jc w:val="both"/>
        <w:rPr>
          <w:rFonts w:ascii="Arial Narrow" w:hAnsi="Arial Narrow"/>
          <w:sz w:val="26"/>
          <w:szCs w:val="26"/>
        </w:rPr>
      </w:pPr>
      <w:r>
        <w:rPr>
          <w:rFonts w:ascii="Arial Narrow" w:hAnsi="Arial Narrow"/>
          <w:bCs/>
          <w:iCs/>
          <w:color w:val="000000"/>
          <w:sz w:val="26"/>
          <w:szCs w:val="26"/>
          <w:lang w:eastAsia="es-ES"/>
        </w:rPr>
        <w:t>Las bases establecen también los requisitos para presentar las solicitudes y la documentación que se debe acompañar, así como el procedimiento de presentación</w:t>
      </w:r>
      <w:r>
        <w:rPr>
          <w:rFonts w:ascii="Arial Narrow" w:hAnsi="Arial Narrow" w:cs="Arial"/>
          <w:bCs/>
          <w:iCs/>
          <w:color w:val="000000"/>
          <w:sz w:val="26"/>
          <w:szCs w:val="26"/>
          <w:lang w:eastAsia="es-ES"/>
        </w:rPr>
        <w:t xml:space="preserve"> de las mismas, o los criterios de otorgamiento de las becas, entre otras estipulaciones. </w:t>
      </w:r>
    </w:p>
    <w:p w:rsidR="003B071E" w:rsidRDefault="003B071E">
      <w:pPr>
        <w:jc w:val="both"/>
        <w:rPr>
          <w:rFonts w:ascii="Arial Narrow" w:hAnsi="Arial Narrow"/>
          <w:sz w:val="26"/>
          <w:szCs w:val="26"/>
        </w:rPr>
      </w:pPr>
    </w:p>
    <w:p w:rsidR="003B071E" w:rsidRDefault="00335E6D">
      <w:pPr>
        <w:jc w:val="both"/>
        <w:rPr>
          <w:rFonts w:ascii="Arial Narrow" w:hAnsi="Arial Narrow" w:cs="Arial Narrow"/>
          <w:b/>
          <w:bCs/>
          <w:sz w:val="26"/>
          <w:szCs w:val="26"/>
          <w:lang w:eastAsia="es-ES"/>
        </w:rPr>
      </w:pPr>
      <w:r>
        <w:rPr>
          <w:rFonts w:ascii="Arial Narrow" w:hAnsi="Arial Narrow" w:cs="Arial Narrow"/>
          <w:b/>
          <w:bCs/>
          <w:sz w:val="26"/>
          <w:szCs w:val="26"/>
          <w:lang w:eastAsia="es-ES"/>
        </w:rPr>
        <w:t>Mej</w:t>
      </w:r>
      <w:r>
        <w:rPr>
          <w:rFonts w:ascii="Arial Narrow" w:hAnsi="Arial Narrow" w:cs="Arial Narrow"/>
          <w:b/>
          <w:bCs/>
          <w:sz w:val="26"/>
          <w:szCs w:val="26"/>
          <w:lang w:eastAsia="es-ES"/>
        </w:rPr>
        <w:t>ora de equipamientos  culturales</w:t>
      </w:r>
    </w:p>
    <w:p w:rsidR="003B071E" w:rsidRDefault="003B071E">
      <w:pPr>
        <w:jc w:val="both"/>
        <w:rPr>
          <w:rFonts w:ascii="Arial Narrow" w:hAnsi="Arial Narrow" w:cs="Arial Narrow"/>
          <w:sz w:val="26"/>
          <w:szCs w:val="26"/>
        </w:rPr>
      </w:pPr>
    </w:p>
    <w:p w:rsidR="003B071E" w:rsidRDefault="00335E6D">
      <w:pPr>
        <w:jc w:val="both"/>
      </w:pPr>
      <w:r>
        <w:rPr>
          <w:rFonts w:ascii="Arial Narrow" w:hAnsi="Arial Narrow" w:cs="Arial Narrow"/>
          <w:sz w:val="26"/>
          <w:szCs w:val="26"/>
          <w:lang w:eastAsia="es-ES"/>
        </w:rPr>
        <w:t xml:space="preserve">Continuando con el repaso a los asuntos de Junta de Gobierno Local, una semana más se han aprobado nuevas inversiones para seguir mejorando equipamientos culturales entre las que figura </w:t>
      </w:r>
      <w:r>
        <w:rPr>
          <w:rFonts w:ascii="Arial Narrow" w:hAnsi="Arial Narrow" w:cs="Arial Narrow"/>
          <w:sz w:val="26"/>
          <w:szCs w:val="26"/>
        </w:rPr>
        <w:t>el suministro e instalación de un si</w:t>
      </w:r>
      <w:r>
        <w:rPr>
          <w:rFonts w:ascii="Arial Narrow" w:hAnsi="Arial Narrow" w:cs="Arial Narrow"/>
          <w:sz w:val="26"/>
          <w:szCs w:val="26"/>
        </w:rPr>
        <w:t>stema cerrado de televisión en la Biblioteca Municipal, que se ha adjudicado a la empresa Alarmas</w:t>
      </w:r>
      <w:r>
        <w:rPr>
          <w:rFonts w:ascii="Arial Narrow" w:hAnsi="Arial Narrow" w:cs="Arial Narrow"/>
          <w:sz w:val="26"/>
          <w:szCs w:val="26"/>
        </w:rPr>
        <w:t xml:space="preserve"> 365, S.L., por importe de 12.178,84 euros.  </w:t>
      </w:r>
    </w:p>
    <w:p w:rsidR="003B071E" w:rsidRDefault="003B071E">
      <w:pPr>
        <w:jc w:val="both"/>
        <w:rPr>
          <w:rFonts w:ascii="Arial Narrow" w:hAnsi="Arial Narrow" w:cs="Arial Narrow"/>
          <w:sz w:val="26"/>
          <w:szCs w:val="26"/>
        </w:rPr>
      </w:pPr>
    </w:p>
    <w:p w:rsidR="003B071E" w:rsidRDefault="00335E6D">
      <w:pPr>
        <w:jc w:val="both"/>
      </w:pPr>
      <w:r>
        <w:rPr>
          <w:rFonts w:ascii="Arial Narrow" w:hAnsi="Arial Narrow" w:cs="Arial Narrow"/>
          <w:sz w:val="26"/>
          <w:szCs w:val="26"/>
        </w:rPr>
        <w:t>La instalación de este sistema permitirá establecer un control de acceso a la biblioteca, así como reforzar la s</w:t>
      </w:r>
      <w:r>
        <w:rPr>
          <w:rFonts w:ascii="Arial Narrow" w:hAnsi="Arial Narrow" w:cs="Arial Narrow"/>
          <w:sz w:val="26"/>
          <w:szCs w:val="26"/>
        </w:rPr>
        <w:t xml:space="preserve">eguridad de las instalaciones y de las personas usuarias. El circuito de TV consta de 12 cámaras anti-vandálicas, 1 videograbador y 1 monitor de 22”, además de todos los elementos que se requieren para este tipo de sistemas. </w:t>
      </w:r>
    </w:p>
    <w:p w:rsidR="003B071E" w:rsidRDefault="003B071E">
      <w:pPr>
        <w:jc w:val="both"/>
        <w:rPr>
          <w:rFonts w:ascii="Arial Narrow" w:hAnsi="Arial Narrow" w:cs="Arial Narrow"/>
          <w:sz w:val="26"/>
          <w:szCs w:val="26"/>
        </w:rPr>
      </w:pPr>
    </w:p>
    <w:p w:rsidR="003B071E" w:rsidRDefault="00335E6D">
      <w:pPr>
        <w:jc w:val="both"/>
        <w:rPr>
          <w:rFonts w:ascii="Arial Narrow" w:hAnsi="Arial Narrow" w:cs="Arial Narrow"/>
          <w:sz w:val="26"/>
          <w:szCs w:val="26"/>
        </w:rPr>
      </w:pPr>
      <w:r>
        <w:rPr>
          <w:rFonts w:ascii="Arial Narrow" w:hAnsi="Arial Narrow" w:cs="Arial Narrow"/>
          <w:sz w:val="26"/>
          <w:szCs w:val="26"/>
        </w:rPr>
        <w:t>Y entre estas mejoras, el Ayu</w:t>
      </w:r>
      <w:r>
        <w:rPr>
          <w:rFonts w:ascii="Arial Narrow" w:hAnsi="Arial Narrow" w:cs="Arial Narrow"/>
          <w:sz w:val="26"/>
          <w:szCs w:val="26"/>
        </w:rPr>
        <w:t xml:space="preserve">ntamiento va a adquirir también un equipo de ultrasonidos que permitirá al personal del Museo Arqueológico realizar un mejor mantenimiento de los hallazgos arqueológicos existentes, ya que este sistema permite eliminar las impurezas que puedan existir sin </w:t>
      </w:r>
      <w:r>
        <w:rPr>
          <w:rFonts w:ascii="Arial Narrow" w:hAnsi="Arial Narrow" w:cs="Arial Narrow"/>
          <w:sz w:val="26"/>
          <w:szCs w:val="26"/>
        </w:rPr>
        <w:t>causar daño a las piezas. De esta forma, se consigue garantizar la preservación del  patrimonio histórico, y facilitar la labor de conservación de los profesionales del Museo”. La empresa suministradora es Productos y Equipos para la Restauración SL por im</w:t>
      </w:r>
      <w:r>
        <w:rPr>
          <w:rFonts w:ascii="Arial Narrow" w:hAnsi="Arial Narrow" w:cs="Arial Narrow"/>
          <w:sz w:val="26"/>
          <w:szCs w:val="26"/>
        </w:rPr>
        <w:t xml:space="preserve">porte de 726 euros. </w:t>
      </w:r>
    </w:p>
    <w:p w:rsidR="003B071E" w:rsidRPr="00335E6D" w:rsidRDefault="00335E6D">
      <w:pPr>
        <w:pStyle w:val="NormalWeb"/>
        <w:spacing w:before="100" w:after="100"/>
        <w:jc w:val="both"/>
      </w:pPr>
      <w:r>
        <w:rPr>
          <w:rFonts w:ascii="Arial Narrow" w:hAnsi="Arial Narrow" w:cs="Arial Narrow"/>
          <w:sz w:val="26"/>
          <w:szCs w:val="26"/>
        </w:rPr>
        <w:lastRenderedPageBreak/>
        <w:t xml:space="preserve">Por último, se va a adquirir </w:t>
      </w:r>
      <w:r>
        <w:rPr>
          <w:rFonts w:ascii="Arial Narrow" w:hAnsi="Arial Narrow" w:cs="Arial Narrow"/>
          <w:sz w:val="26"/>
          <w:szCs w:val="26"/>
          <w:lang w:eastAsia="en-US"/>
        </w:rPr>
        <w:t xml:space="preserve">una mesa de sonido para la Sala Compañía, que tiene un importe de 9.019 euros, y que se ha adjudicado a la empresa </w:t>
      </w:r>
      <w:proofErr w:type="spellStart"/>
      <w:r>
        <w:rPr>
          <w:rFonts w:ascii="Arial Narrow" w:hAnsi="Arial Narrow" w:cs="Arial Narrow"/>
          <w:sz w:val="26"/>
          <w:szCs w:val="26"/>
        </w:rPr>
        <w:t>Suserevent</w:t>
      </w:r>
      <w:proofErr w:type="spellEnd"/>
      <w:r>
        <w:rPr>
          <w:rFonts w:ascii="Arial Narrow" w:hAnsi="Arial Narrow" w:cs="Arial Narrow"/>
          <w:sz w:val="26"/>
          <w:szCs w:val="26"/>
        </w:rPr>
        <w:t xml:space="preserve">, S.L. Este material mejorará notablemente la calidad y el control acústico de las actividades culturales que se realizan en la Sala Compañía. La mesa de sonido tendrá gestión remota mediante una </w:t>
      </w:r>
      <w:proofErr w:type="spellStart"/>
      <w:r>
        <w:rPr>
          <w:rFonts w:ascii="Arial Narrow" w:hAnsi="Arial Narrow" w:cs="Arial Narrow"/>
          <w:sz w:val="26"/>
          <w:szCs w:val="26"/>
        </w:rPr>
        <w:t>tablet</w:t>
      </w:r>
      <w:proofErr w:type="spellEnd"/>
      <w:r>
        <w:rPr>
          <w:rFonts w:ascii="Arial Narrow" w:hAnsi="Arial Narrow" w:cs="Arial Narrow"/>
          <w:sz w:val="26"/>
          <w:szCs w:val="26"/>
        </w:rPr>
        <w:t xml:space="preserve"> que conecta con alta calidad con los nuevos</w:t>
      </w:r>
      <w:r>
        <w:rPr>
          <w:rFonts w:ascii="Arial Narrow" w:hAnsi="Arial Narrow" w:cs="Arial Narrow"/>
          <w:sz w:val="26"/>
          <w:szCs w:val="26"/>
        </w:rPr>
        <w:t xml:space="preserve"> equipamientos técnicos que se han instalado en la Sala Compañía. También se incluye el suministro de nuevos micrófonos de cuello y de sobremesa. </w:t>
      </w:r>
    </w:p>
    <w:p w:rsidR="003B071E" w:rsidRDefault="003B071E">
      <w:pPr>
        <w:jc w:val="both"/>
        <w:rPr>
          <w:rFonts w:ascii="Arial Narrow" w:hAnsi="Arial Narrow"/>
          <w:iCs/>
          <w:color w:val="000000"/>
          <w:sz w:val="26"/>
          <w:szCs w:val="26"/>
          <w:lang w:eastAsia="es-ES"/>
        </w:rPr>
      </w:pPr>
    </w:p>
    <w:p w:rsidR="003B071E" w:rsidRDefault="003B071E">
      <w:pPr>
        <w:jc w:val="both"/>
        <w:rPr>
          <w:rFonts w:ascii="Arial Narrow" w:hAnsi="Arial Narrow"/>
          <w:iCs/>
          <w:color w:val="000000"/>
          <w:sz w:val="26"/>
          <w:szCs w:val="26"/>
          <w:lang w:eastAsia="es-ES"/>
        </w:rPr>
      </w:pPr>
    </w:p>
    <w:p w:rsidR="003B071E" w:rsidRDefault="003B071E">
      <w:pPr>
        <w:jc w:val="both"/>
        <w:rPr>
          <w:rFonts w:ascii="Arial Narrow" w:hAnsi="Arial Narrow"/>
          <w:sz w:val="26"/>
          <w:szCs w:val="26"/>
        </w:rPr>
      </w:pPr>
    </w:p>
    <w:p w:rsidR="003B071E" w:rsidRDefault="003B071E">
      <w:pPr>
        <w:jc w:val="both"/>
        <w:rPr>
          <w:rFonts w:ascii="Arial Narrow" w:hAnsi="Arial Narrow"/>
          <w:b/>
          <w:bCs/>
          <w:iCs/>
          <w:color w:val="000000"/>
          <w:sz w:val="26"/>
          <w:szCs w:val="26"/>
          <w:lang w:eastAsia="es-ES"/>
        </w:rPr>
      </w:pPr>
    </w:p>
    <w:p w:rsidR="003B071E" w:rsidRDefault="003B071E">
      <w:pPr>
        <w:jc w:val="both"/>
        <w:rPr>
          <w:rFonts w:ascii="Arial Narrow" w:hAnsi="Arial Narrow"/>
          <w:iCs/>
          <w:color w:val="000000"/>
          <w:sz w:val="26"/>
          <w:szCs w:val="26"/>
          <w:lang w:eastAsia="es-ES"/>
        </w:rPr>
      </w:pPr>
    </w:p>
    <w:p w:rsidR="003B071E" w:rsidRDefault="003B071E">
      <w:pPr>
        <w:jc w:val="both"/>
        <w:rPr>
          <w:rFonts w:ascii="Arial Narrow" w:hAnsi="Arial Narrow"/>
          <w:sz w:val="26"/>
          <w:szCs w:val="26"/>
        </w:rPr>
      </w:pPr>
    </w:p>
    <w:p w:rsidR="003B071E" w:rsidRDefault="003B071E">
      <w:pPr>
        <w:jc w:val="both"/>
        <w:rPr>
          <w:rFonts w:ascii="Arial Narrow" w:hAnsi="Arial Narrow"/>
          <w:iCs/>
          <w:color w:val="000000"/>
          <w:sz w:val="26"/>
          <w:szCs w:val="26"/>
          <w:lang w:eastAsia="es-ES"/>
        </w:rPr>
      </w:pPr>
    </w:p>
    <w:p w:rsidR="003B071E" w:rsidRDefault="003B071E">
      <w:pPr>
        <w:rPr>
          <w:rFonts w:ascii="Arial Narrow" w:hAnsi="Arial Narrow"/>
          <w:sz w:val="26"/>
          <w:szCs w:val="26"/>
        </w:rPr>
      </w:pPr>
    </w:p>
    <w:p w:rsidR="003B071E" w:rsidRDefault="003B071E">
      <w:pPr>
        <w:jc w:val="both"/>
        <w:rPr>
          <w:rFonts w:ascii="Arial Narrow" w:hAnsi="Arial Narrow"/>
          <w:sz w:val="26"/>
          <w:szCs w:val="26"/>
        </w:rPr>
      </w:pPr>
    </w:p>
    <w:p w:rsidR="003B071E" w:rsidRDefault="003B071E">
      <w:pPr>
        <w:jc w:val="both"/>
        <w:rPr>
          <w:rFonts w:ascii="Arial Narrow" w:hAnsi="Arial Narrow"/>
          <w:sz w:val="26"/>
          <w:szCs w:val="26"/>
        </w:rPr>
      </w:pPr>
    </w:p>
    <w:p w:rsidR="003B071E" w:rsidRDefault="003B071E">
      <w:pPr>
        <w:jc w:val="both"/>
        <w:rPr>
          <w:rFonts w:ascii="Arial Narrow" w:hAnsi="Arial Narrow"/>
          <w:sz w:val="26"/>
          <w:szCs w:val="26"/>
        </w:rPr>
      </w:pPr>
    </w:p>
    <w:sectPr w:rsidR="003B071E">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5E6D">
      <w:r>
        <w:separator/>
      </w:r>
    </w:p>
  </w:endnote>
  <w:endnote w:type="continuationSeparator" w:id="0">
    <w:p w:rsidR="00000000" w:rsidRDefault="0033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rialMT">
    <w:charset w:val="00"/>
    <w:family w:val="roman"/>
    <w:pitch w:val="variable"/>
  </w:font>
  <w:font w:name="CG Omeg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1E" w:rsidRDefault="00335E6D">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5E6D">
      <w:r>
        <w:separator/>
      </w:r>
    </w:p>
  </w:footnote>
  <w:footnote w:type="continuationSeparator" w:id="0">
    <w:p w:rsidR="00000000" w:rsidRDefault="0033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1E" w:rsidRDefault="00335E6D">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071E"/>
    <w:rsid w:val="00335E6D"/>
    <w:rsid w:val="003B07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C59A1-0985-45E1-887F-1ACD45F6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qFormat/>
    <w:rPr>
      <w:color w:val="0563C1"/>
      <w:u w:val="single"/>
    </w:rPr>
  </w:style>
  <w:style w:type="character" w:customStyle="1" w:styleId="Textoennegrita1">
    <w:name w:val="Texto en negrita1"/>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character" w:customStyle="1" w:styleId="fontstyle01">
    <w:name w:val="fontstyle01"/>
    <w:qFormat/>
    <w:rPr>
      <w:rFonts w:ascii="ArialMT" w:eastAsia="Times New Roman" w:hAnsi="ArialMT" w:cs="Times New Roman"/>
      <w:b w:val="0"/>
      <w:bCs w:val="0"/>
      <w:i w:val="0"/>
      <w:iCs w:val="0"/>
      <w:color w:val="000000"/>
    </w:rPr>
  </w:style>
  <w:style w:type="character" w:customStyle="1" w:styleId="TextosinformatoCar">
    <w:name w:val="Texto sin formato Car"/>
    <w:qFormat/>
    <w:rPr>
      <w:rFonts w:ascii="Arial" w:eastAsia="Calibri" w:hAnsi="Arial" w:cs="Arial"/>
      <w:sz w:val="22"/>
      <w:szCs w:val="22"/>
    </w:rPr>
  </w:style>
  <w:style w:type="character" w:customStyle="1" w:styleId="Sangra3detindependienteCar">
    <w:name w:val="Sangría 3 de t. independiente Car"/>
    <w:qFormat/>
    <w:rPr>
      <w:rFonts w:ascii="CG Omega" w:eastAsia="Times New Roman" w:hAnsi="CG Omega" w:cs="CG Omega"/>
      <w:i/>
      <w:sz w:val="26"/>
    </w:rPr>
  </w:style>
  <w:style w:type="character" w:customStyle="1" w:styleId="HTMLconformatoprevioCar">
    <w:name w:val="HTML con formato previo Car"/>
    <w:qFormat/>
    <w:rPr>
      <w:rFonts w:ascii="Courier New" w:eastAsia="Calibri" w:hAnsi="Courier New" w:cs="Courier New"/>
      <w:color w:val="000000"/>
      <w:sz w:val="20"/>
      <w:szCs w:val="20"/>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paragraph" w:customStyle="1" w:styleId="ttuloyobjetosltgliederung1">
    <w:name w:val="ttuloyobjetosltgliederung1"/>
    <w:basedOn w:val="Normal"/>
    <w:qFormat/>
    <w:pPr>
      <w:spacing w:beforeAutospacing="1" w:afterAutospacing="1"/>
    </w:pPr>
    <w:rPr>
      <w:rFonts w:ascii="Times New Roman" w:hAnsi="Times New Roman" w:cs="Times New Roman"/>
      <w:kern w:val="0"/>
      <w:lang w:eastAsia="es-ES_tradnl"/>
    </w:rPr>
  </w:style>
  <w:style w:type="paragraph" w:customStyle="1" w:styleId="Sangra3detindependiente1">
    <w:name w:val="Sangría 3 de t. independiente1"/>
    <w:basedOn w:val="Normal"/>
    <w:qFormat/>
    <w:pPr>
      <w:ind w:firstLine="567"/>
      <w:jc w:val="both"/>
    </w:pPr>
    <w:rPr>
      <w:rFonts w:ascii="CG Omega" w:hAnsi="CG Omega" w:cs="CG Omega"/>
      <w:i/>
      <w:sz w:val="26"/>
    </w:rPr>
  </w:style>
  <w:style w:type="paragraph" w:styleId="HTMLconformatoprevio">
    <w:name w:val="HTML Preformatted"/>
    <w:basedOn w:val="Normal"/>
    <w:qFormat/>
    <w:rPr>
      <w:rFonts w:ascii="Courier New" w:eastAsia="Calibri" w:hAnsi="Courier New" w:cs="Courier New"/>
      <w:color w:val="000000"/>
      <w:sz w:val="20"/>
    </w:rPr>
  </w:style>
  <w:style w:type="paragraph" w:customStyle="1" w:styleId="Encabezadodelatabla">
    <w:name w:val="Encabezado de la tabla"/>
    <w:qFormat/>
    <w:pPr>
      <w:jc w:val="center"/>
    </w:pPr>
    <w:rPr>
      <w:b/>
      <w:bCs/>
    </w:rPr>
  </w:style>
  <w:style w:type="paragraph" w:customStyle="1" w:styleId="Epgrafe">
    <w:name w:val="Epígrafe"/>
    <w:basedOn w:val="Normal"/>
    <w:qFormat/>
    <w:pPr>
      <w:spacing w:before="120" w:after="120"/>
    </w:pPr>
    <w:rPr>
      <w:i/>
      <w:iCs/>
    </w:rPr>
  </w:style>
  <w:style w:type="paragraph" w:customStyle="1" w:styleId="caption1">
    <w:name w:val="caption1"/>
    <w:basedOn w:val="Normal"/>
    <w:qFormat/>
    <w:pPr>
      <w:spacing w:before="120" w:after="120"/>
    </w:pPr>
    <w:rPr>
      <w:i/>
      <w:iCs/>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812</Words>
  <Characters>4471</Characters>
  <Application>Microsoft Office Word</Application>
  <DocSecurity>0</DocSecurity>
  <Lines>37</Lines>
  <Paragraphs>10</Paragraphs>
  <ScaleCrop>false</ScaleCrop>
  <Company>HP</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78</cp:revision>
  <dcterms:created xsi:type="dcterms:W3CDTF">2024-03-14T11:53:00Z</dcterms:created>
  <dcterms:modified xsi:type="dcterms:W3CDTF">2024-03-19T10:10:00Z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